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012" w:rsidRPr="00457DCF" w:rsidRDefault="00BF7012" w:rsidP="00495D84">
      <w:pPr>
        <w:jc w:val="center"/>
      </w:pPr>
      <w:r w:rsidRPr="00457DCF">
        <w:rPr>
          <w:b/>
        </w:rPr>
        <w:t>ASCC A&amp;H1 Panel</w:t>
      </w:r>
    </w:p>
    <w:p w:rsidR="00BF7012" w:rsidRPr="00457DCF" w:rsidRDefault="00513075" w:rsidP="00BF7012">
      <w:pPr>
        <w:jc w:val="center"/>
      </w:pPr>
      <w:r>
        <w:t>A</w:t>
      </w:r>
      <w:r w:rsidR="008A4EC6">
        <w:t>pproved</w:t>
      </w:r>
      <w:r w:rsidR="00BF7012" w:rsidRPr="00457DCF">
        <w:t xml:space="preserve"> Minutes</w:t>
      </w:r>
    </w:p>
    <w:p w:rsidR="00BF7012" w:rsidRPr="00457DCF" w:rsidRDefault="00BF7012" w:rsidP="00BF7012"/>
    <w:p w:rsidR="00BF7012" w:rsidRPr="00457DCF" w:rsidRDefault="00BF7012" w:rsidP="00BF7012">
      <w:r w:rsidRPr="00457DCF">
        <w:t>Friday, January 13, 2017</w:t>
      </w:r>
      <w:r w:rsidRPr="00457DCF">
        <w:tab/>
      </w:r>
      <w:r w:rsidRPr="00457DCF">
        <w:tab/>
      </w:r>
      <w:r w:rsidRPr="00457DCF">
        <w:tab/>
      </w:r>
      <w:r w:rsidRPr="00457DCF">
        <w:tab/>
      </w:r>
      <w:r w:rsidRPr="00457DCF">
        <w:tab/>
      </w:r>
      <w:r w:rsidRPr="00457DCF">
        <w:tab/>
      </w:r>
      <w:r w:rsidRPr="00457DCF">
        <w:tab/>
        <w:t>9:00 -10:30 AM</w:t>
      </w:r>
    </w:p>
    <w:p w:rsidR="00BF7012" w:rsidRPr="00457DCF" w:rsidRDefault="00BF7012" w:rsidP="00BF7012">
      <w:r w:rsidRPr="00457DCF">
        <w:t>110 Denney Hall</w:t>
      </w:r>
    </w:p>
    <w:p w:rsidR="00BF7012" w:rsidRPr="00457DCF" w:rsidRDefault="00BF7012" w:rsidP="00BF7012"/>
    <w:p w:rsidR="00BF7012" w:rsidRPr="00457DCF" w:rsidRDefault="00457DCF" w:rsidP="00BF7012">
      <w:r w:rsidRPr="00457DCF">
        <w:t>ATTENDEES: Aski, Bitters</w:t>
      </w:r>
      <w:r w:rsidR="00BF7012" w:rsidRPr="00457DCF">
        <w:t xml:space="preserve">, Jones, </w:t>
      </w:r>
      <w:r w:rsidR="00992BB3" w:rsidRPr="00457DCF">
        <w:t xml:space="preserve">Oldroyd, </w:t>
      </w:r>
      <w:r w:rsidR="00BF7012" w:rsidRPr="00457DCF">
        <w:rPr>
          <w:color w:val="333333"/>
          <w:shd w:val="clear" w:color="auto" w:fill="FFFFFF"/>
        </w:rPr>
        <w:t>Taleghani-Nikazm</w:t>
      </w:r>
      <w:r w:rsidR="00BF7012" w:rsidRPr="00457DCF">
        <w:t>, Vankeerbergen</w:t>
      </w:r>
      <w:bookmarkStart w:id="0" w:name="_GoBack"/>
      <w:bookmarkEnd w:id="0"/>
    </w:p>
    <w:p w:rsidR="00BF7012" w:rsidRPr="00457DCF" w:rsidRDefault="00BF7012" w:rsidP="00BF7012"/>
    <w:p w:rsidR="00BF7012" w:rsidRPr="00457DCF" w:rsidRDefault="00BF7012" w:rsidP="00BF7012">
      <w:r w:rsidRPr="00457DCF">
        <w:t xml:space="preserve">AGENDA: </w:t>
      </w:r>
    </w:p>
    <w:p w:rsidR="00BF7012" w:rsidRPr="00457DCF" w:rsidRDefault="00BF7012" w:rsidP="00BF7012"/>
    <w:p w:rsidR="00BF7012" w:rsidRPr="00457DCF" w:rsidRDefault="00BF7012" w:rsidP="00BF7012">
      <w:pPr>
        <w:numPr>
          <w:ilvl w:val="0"/>
          <w:numId w:val="4"/>
        </w:numPr>
        <w:suppressAutoHyphens w:val="0"/>
      </w:pPr>
      <w:r w:rsidRPr="00457DCF">
        <w:rPr>
          <w:lang w:eastAsia="en-US"/>
        </w:rPr>
        <w:t xml:space="preserve">Approval of 11-22-16 minutes </w:t>
      </w:r>
    </w:p>
    <w:p w:rsidR="00BF7012" w:rsidRPr="00457DCF" w:rsidRDefault="00E82555" w:rsidP="00BF7012">
      <w:pPr>
        <w:pStyle w:val="ListParagraph"/>
        <w:numPr>
          <w:ilvl w:val="0"/>
          <w:numId w:val="10"/>
        </w:numPr>
        <w:suppressAutoHyphens w:val="0"/>
        <w:rPr>
          <w:b/>
        </w:rPr>
      </w:pPr>
      <w:r w:rsidRPr="00457DCF">
        <w:t xml:space="preserve">Jones, </w:t>
      </w:r>
      <w:r w:rsidR="003A5977" w:rsidRPr="00457DCF">
        <w:rPr>
          <w:color w:val="333333"/>
          <w:shd w:val="clear" w:color="auto" w:fill="FFFFFF"/>
        </w:rPr>
        <w:t>Taleghani-Nikazm</w:t>
      </w:r>
      <w:r w:rsidRPr="00457DCF">
        <w:t xml:space="preserve">, </w:t>
      </w:r>
      <w:r w:rsidR="006650E0">
        <w:rPr>
          <w:b/>
        </w:rPr>
        <w:t>u</w:t>
      </w:r>
      <w:r w:rsidRPr="00457DCF">
        <w:rPr>
          <w:b/>
        </w:rPr>
        <w:t>nanimously Approved</w:t>
      </w:r>
    </w:p>
    <w:p w:rsidR="009A23E2" w:rsidRPr="00457DCF" w:rsidRDefault="009A23E2" w:rsidP="009A23E2">
      <w:pPr>
        <w:suppressAutoHyphens w:val="0"/>
        <w:rPr>
          <w:b/>
        </w:rPr>
      </w:pPr>
    </w:p>
    <w:p w:rsidR="00BF7012" w:rsidRPr="00457DCF" w:rsidRDefault="00BF7012" w:rsidP="00BF7012">
      <w:pPr>
        <w:numPr>
          <w:ilvl w:val="0"/>
          <w:numId w:val="4"/>
        </w:numPr>
        <w:shd w:val="clear" w:color="auto" w:fill="FFFFFF"/>
        <w:suppressAutoHyphens w:val="0"/>
        <w:ind w:right="360"/>
        <w:textAlignment w:val="baseline"/>
        <w:rPr>
          <w:color w:val="222222"/>
          <w:lang w:eastAsia="en-US"/>
        </w:rPr>
      </w:pPr>
      <w:r w:rsidRPr="00457DCF">
        <w:rPr>
          <w:color w:val="222222"/>
          <w:bdr w:val="none" w:sz="0" w:space="0" w:color="auto" w:frame="1"/>
          <w:lang w:eastAsia="en-US"/>
        </w:rPr>
        <w:t>Art Education 5367 (existing course; request for 100% DL delivery)</w:t>
      </w:r>
    </w:p>
    <w:p w:rsidR="009A23E2" w:rsidRPr="00457DCF" w:rsidRDefault="009A23E2" w:rsidP="009A23E2">
      <w:pPr>
        <w:pStyle w:val="ListParagraph"/>
        <w:numPr>
          <w:ilvl w:val="0"/>
          <w:numId w:val="10"/>
        </w:numPr>
        <w:shd w:val="clear" w:color="auto" w:fill="FFFFFF"/>
        <w:suppressAutoHyphens w:val="0"/>
        <w:ind w:right="360"/>
        <w:textAlignment w:val="baseline"/>
        <w:rPr>
          <w:i/>
          <w:color w:val="222222"/>
          <w:lang w:eastAsia="en-US"/>
        </w:rPr>
      </w:pPr>
      <w:r w:rsidRPr="00457DCF">
        <w:rPr>
          <w:i/>
          <w:color w:val="222222"/>
          <w:lang w:eastAsia="en-US"/>
        </w:rPr>
        <w:t xml:space="preserve">Quizzes and exams are included in the academic integrity policy on page 7 of the online syllabus. Since quizzes and exams aren’t assignments for the online version of the course, the panel recommends removing this language from the academic integrity policy. </w:t>
      </w:r>
    </w:p>
    <w:p w:rsidR="00016D34" w:rsidRPr="00457DCF" w:rsidRDefault="009A23E2" w:rsidP="009A23E2">
      <w:pPr>
        <w:pStyle w:val="ListParagraph"/>
        <w:numPr>
          <w:ilvl w:val="0"/>
          <w:numId w:val="8"/>
        </w:numPr>
        <w:shd w:val="clear" w:color="auto" w:fill="FFFFFF"/>
        <w:suppressAutoHyphens w:val="0"/>
        <w:ind w:right="360"/>
        <w:contextualSpacing w:val="0"/>
        <w:textAlignment w:val="baseline"/>
        <w:rPr>
          <w:i/>
          <w:color w:val="222222"/>
          <w:lang w:eastAsia="en-US"/>
        </w:rPr>
      </w:pPr>
      <w:r w:rsidRPr="00457DCF">
        <w:rPr>
          <w:i/>
          <w:color w:val="222222"/>
          <w:lang w:eastAsia="en-US"/>
        </w:rPr>
        <w:t xml:space="preserve">There are two disability statements included in the syllabus. The panel recommends removing the statement with outdated language and only using the most recent one. See p. 15 ASC Curriculum and Assessment Operations Manual </w:t>
      </w:r>
      <w:hyperlink r:id="rId6" w:history="1">
        <w:r w:rsidRPr="00457DCF">
          <w:rPr>
            <w:rStyle w:val="Hyperlink"/>
            <w:lang w:eastAsia="en-US"/>
          </w:rPr>
          <w:t>https://asccas.osu.edu/sites/asccas.osu.edu/files/ASC_CurrAssess_Operations_Manual.pdf</w:t>
        </w:r>
      </w:hyperlink>
      <w:hyperlink w:history="1"/>
    </w:p>
    <w:p w:rsidR="00016D34" w:rsidRPr="00457DCF" w:rsidRDefault="009A23E2" w:rsidP="00016D34">
      <w:pPr>
        <w:pStyle w:val="ListParagraph"/>
        <w:numPr>
          <w:ilvl w:val="0"/>
          <w:numId w:val="10"/>
        </w:numPr>
        <w:shd w:val="clear" w:color="auto" w:fill="FFFFFF"/>
        <w:suppressAutoHyphens w:val="0"/>
        <w:ind w:right="360"/>
        <w:textAlignment w:val="baseline"/>
        <w:rPr>
          <w:color w:val="222222"/>
          <w:lang w:eastAsia="en-US"/>
        </w:rPr>
      </w:pPr>
      <w:r w:rsidRPr="00457DCF">
        <w:rPr>
          <w:color w:val="333333"/>
          <w:shd w:val="clear" w:color="auto" w:fill="FFFFFF"/>
        </w:rPr>
        <w:t>Taleghani-Nikazm</w:t>
      </w:r>
      <w:r w:rsidRPr="00457DCF">
        <w:rPr>
          <w:color w:val="222222"/>
          <w:lang w:eastAsia="en-US"/>
        </w:rPr>
        <w:t>, Jones</w:t>
      </w:r>
      <w:r w:rsidR="00016D34" w:rsidRPr="00457DCF">
        <w:rPr>
          <w:b/>
          <w:color w:val="222222"/>
          <w:lang w:eastAsia="en-US"/>
        </w:rPr>
        <w:t>,</w:t>
      </w:r>
      <w:r w:rsidRPr="00457DCF">
        <w:rPr>
          <w:b/>
          <w:color w:val="222222"/>
          <w:lang w:eastAsia="en-US"/>
        </w:rPr>
        <w:t xml:space="preserve"> unanimously approved</w:t>
      </w:r>
      <w:r w:rsidRPr="00457DCF">
        <w:rPr>
          <w:color w:val="222222"/>
          <w:lang w:eastAsia="en-US"/>
        </w:rPr>
        <w:t xml:space="preserve"> with </w:t>
      </w:r>
      <w:r w:rsidRPr="00457DCF">
        <w:rPr>
          <w:i/>
          <w:color w:val="222222"/>
          <w:lang w:eastAsia="en-US"/>
        </w:rPr>
        <w:t>two suggestions</w:t>
      </w:r>
      <w:r w:rsidRPr="00457DCF">
        <w:rPr>
          <w:color w:val="222222"/>
          <w:lang w:eastAsia="en-US"/>
        </w:rPr>
        <w:t xml:space="preserve"> </w:t>
      </w:r>
      <w:r w:rsidRPr="00457DCF">
        <w:rPr>
          <w:i/>
          <w:color w:val="222222"/>
          <w:lang w:eastAsia="en-US"/>
        </w:rPr>
        <w:t>(in italics above)</w:t>
      </w:r>
    </w:p>
    <w:p w:rsidR="009A23E2" w:rsidRPr="00457DCF" w:rsidRDefault="009A23E2" w:rsidP="009A23E2">
      <w:pPr>
        <w:shd w:val="clear" w:color="auto" w:fill="FFFFFF"/>
        <w:suppressAutoHyphens w:val="0"/>
        <w:ind w:right="360"/>
        <w:textAlignment w:val="baseline"/>
        <w:rPr>
          <w:color w:val="222222"/>
          <w:lang w:eastAsia="en-US"/>
        </w:rPr>
      </w:pPr>
    </w:p>
    <w:p w:rsidR="00BF7012" w:rsidRPr="00457DCF" w:rsidRDefault="00BF7012" w:rsidP="00BF7012">
      <w:pPr>
        <w:numPr>
          <w:ilvl w:val="0"/>
          <w:numId w:val="4"/>
        </w:numPr>
        <w:shd w:val="clear" w:color="auto" w:fill="FFFFFF"/>
        <w:suppressAutoHyphens w:val="0"/>
        <w:ind w:right="360"/>
        <w:textAlignment w:val="baseline"/>
        <w:rPr>
          <w:color w:val="222222"/>
          <w:lang w:eastAsia="en-US"/>
        </w:rPr>
      </w:pPr>
      <w:r w:rsidRPr="00457DCF">
        <w:rPr>
          <w:color w:val="222222"/>
          <w:bdr w:val="none" w:sz="0" w:space="0" w:color="auto" w:frame="1"/>
          <w:lang w:eastAsia="en-US"/>
        </w:rPr>
        <w:t>English 3271 (existing course with GE Cultures and Ideas; already approved for hybrid delivery; request for 100% DL delivery)</w:t>
      </w:r>
    </w:p>
    <w:p w:rsidR="00261BC2" w:rsidRPr="00261BC2" w:rsidRDefault="00457DCF" w:rsidP="006341C6">
      <w:pPr>
        <w:pStyle w:val="ListParagraph"/>
        <w:numPr>
          <w:ilvl w:val="0"/>
          <w:numId w:val="10"/>
        </w:numPr>
        <w:shd w:val="clear" w:color="auto" w:fill="FFFFFF"/>
        <w:suppressAutoHyphens w:val="0"/>
        <w:ind w:right="360"/>
        <w:textAlignment w:val="baseline"/>
        <w:rPr>
          <w:color w:val="222222"/>
          <w:lang w:eastAsia="en-US"/>
        </w:rPr>
      </w:pPr>
      <w:r w:rsidRPr="00261BC2">
        <w:rPr>
          <w:i/>
          <w:color w:val="222222"/>
          <w:lang w:eastAsia="en-US"/>
        </w:rPr>
        <w:t>The first page of the i</w:t>
      </w:r>
      <w:r w:rsidR="00926B3E" w:rsidRPr="00261BC2">
        <w:rPr>
          <w:i/>
          <w:color w:val="222222"/>
          <w:lang w:eastAsia="en-US"/>
        </w:rPr>
        <w:t>n-</w:t>
      </w:r>
      <w:r w:rsidRPr="00261BC2">
        <w:rPr>
          <w:i/>
          <w:color w:val="222222"/>
          <w:lang w:eastAsia="en-US"/>
        </w:rPr>
        <w:t>class</w:t>
      </w:r>
      <w:r w:rsidR="00016D34" w:rsidRPr="00261BC2">
        <w:rPr>
          <w:i/>
          <w:color w:val="222222"/>
          <w:lang w:eastAsia="en-US"/>
        </w:rPr>
        <w:t xml:space="preserve"> </w:t>
      </w:r>
      <w:r w:rsidR="00926B3E" w:rsidRPr="00261BC2">
        <w:rPr>
          <w:i/>
          <w:color w:val="222222"/>
          <w:lang w:eastAsia="en-US"/>
        </w:rPr>
        <w:t>syllabus states</w:t>
      </w:r>
      <w:r w:rsidR="00261BC2" w:rsidRPr="00261BC2">
        <w:rPr>
          <w:i/>
          <w:color w:val="222222"/>
          <w:lang w:eastAsia="en-US"/>
        </w:rPr>
        <w:t>,</w:t>
      </w:r>
      <w:r w:rsidR="00926B3E" w:rsidRPr="00261BC2">
        <w:rPr>
          <w:i/>
          <w:color w:val="222222"/>
          <w:lang w:eastAsia="en-US"/>
        </w:rPr>
        <w:t xml:space="preserve"> “</w:t>
      </w:r>
      <w:r w:rsidR="00261BC2" w:rsidRPr="00261BC2">
        <w:rPr>
          <w:i/>
        </w:rPr>
        <w:t>M</w:t>
      </w:r>
      <w:r w:rsidR="00926B3E" w:rsidRPr="00261BC2">
        <w:rPr>
          <w:i/>
        </w:rPr>
        <w:t xml:space="preserve">any of the concepts that this class covers are quite technical, and in my experience students find it very difficult to learn the material independently. Therefore, attendance in class is crucial.” </w:t>
      </w:r>
      <w:r w:rsidR="00E75CEB" w:rsidRPr="00261BC2">
        <w:rPr>
          <w:i/>
          <w:color w:val="222222"/>
          <w:lang w:eastAsia="en-US"/>
        </w:rPr>
        <w:t>G</w:t>
      </w:r>
      <w:r w:rsidR="00261BC2" w:rsidRPr="00261BC2">
        <w:rPr>
          <w:i/>
          <w:color w:val="222222"/>
          <w:lang w:eastAsia="en-US"/>
        </w:rPr>
        <w:t>iven this is the case, the Panel</w:t>
      </w:r>
      <w:r w:rsidR="00E75CEB" w:rsidRPr="00261BC2">
        <w:rPr>
          <w:i/>
          <w:color w:val="222222"/>
          <w:lang w:eastAsia="en-US"/>
        </w:rPr>
        <w:t xml:space="preserve"> notes inconsistency in values between online and </w:t>
      </w:r>
      <w:r w:rsidR="00926B3E" w:rsidRPr="00261BC2">
        <w:rPr>
          <w:i/>
          <w:color w:val="222222"/>
          <w:lang w:eastAsia="en-US"/>
        </w:rPr>
        <w:t>in-person</w:t>
      </w:r>
      <w:r w:rsidR="00261BC2" w:rsidRPr="00261BC2">
        <w:rPr>
          <w:i/>
          <w:color w:val="222222"/>
          <w:lang w:eastAsia="en-US"/>
        </w:rPr>
        <w:t xml:space="preserve"> delivery</w:t>
      </w:r>
      <w:r w:rsidR="00E75CEB" w:rsidRPr="00261BC2">
        <w:rPr>
          <w:i/>
          <w:color w:val="222222"/>
          <w:lang w:eastAsia="en-US"/>
        </w:rPr>
        <w:t xml:space="preserve">. How </w:t>
      </w:r>
      <w:r w:rsidR="00926B3E" w:rsidRPr="00261BC2">
        <w:rPr>
          <w:i/>
          <w:color w:val="222222"/>
          <w:lang w:eastAsia="en-US"/>
        </w:rPr>
        <w:t>will</w:t>
      </w:r>
      <w:r w:rsidR="00E75CEB" w:rsidRPr="00261BC2">
        <w:rPr>
          <w:i/>
          <w:color w:val="222222"/>
          <w:lang w:eastAsia="en-US"/>
        </w:rPr>
        <w:t xml:space="preserve"> this difference</w:t>
      </w:r>
      <w:r w:rsidR="00926B3E" w:rsidRPr="00261BC2">
        <w:rPr>
          <w:i/>
          <w:color w:val="222222"/>
          <w:lang w:eastAsia="en-US"/>
        </w:rPr>
        <w:t xml:space="preserve"> be accommodated</w:t>
      </w:r>
      <w:r w:rsidR="00E75CEB" w:rsidRPr="00261BC2">
        <w:rPr>
          <w:i/>
          <w:color w:val="222222"/>
          <w:lang w:eastAsia="en-US"/>
        </w:rPr>
        <w:t xml:space="preserve"> in online course? </w:t>
      </w:r>
      <w:r w:rsidR="00926B3E" w:rsidRPr="00261BC2">
        <w:rPr>
          <w:i/>
          <w:color w:val="222222"/>
          <w:lang w:eastAsia="en-US"/>
        </w:rPr>
        <w:t xml:space="preserve">Will the online version be sufficient to explain technical aspects of course without meeting in-person? </w:t>
      </w:r>
    </w:p>
    <w:p w:rsidR="00261BC2" w:rsidRPr="00261BC2" w:rsidRDefault="00261BC2" w:rsidP="00261BC2">
      <w:pPr>
        <w:pStyle w:val="ListParagraph"/>
        <w:numPr>
          <w:ilvl w:val="0"/>
          <w:numId w:val="10"/>
        </w:numPr>
        <w:suppressAutoHyphens w:val="0"/>
        <w:contextualSpacing w:val="0"/>
        <w:rPr>
          <w:i/>
          <w:sz w:val="22"/>
          <w:szCs w:val="22"/>
          <w:lang w:eastAsia="en-US"/>
        </w:rPr>
      </w:pPr>
      <w:r w:rsidRPr="00261BC2">
        <w:rPr>
          <w:i/>
        </w:rPr>
        <w:t xml:space="preserve">Page 5 of on-line syllabus: Statement on academic services refers to ASC academic services. Since this course is a GE course, it can be taken by students from any college at Ohio State. Therefore, services listed should not exclusively be ASC’s (since academic advisors in ASC do not advise non-ASC students). Instead of inserting this link </w:t>
      </w:r>
      <w:hyperlink r:id="rId7" w:history="1">
        <w:r w:rsidRPr="00261BC2">
          <w:rPr>
            <w:rStyle w:val="Hyperlink"/>
            <w:i/>
          </w:rPr>
          <w:t>http://artsandsciences.osu.edu/academics/current-students/advising</w:t>
        </w:r>
      </w:hyperlink>
      <w:r w:rsidRPr="00261BC2">
        <w:rPr>
          <w:i/>
        </w:rPr>
        <w:t xml:space="preserve"> , please use this one </w:t>
      </w:r>
      <w:hyperlink r:id="rId8" w:history="1">
        <w:r w:rsidRPr="00261BC2">
          <w:rPr>
            <w:rStyle w:val="Hyperlink"/>
            <w:i/>
          </w:rPr>
          <w:t>http://advising.osu.edu/welcome.shtml</w:t>
        </w:r>
      </w:hyperlink>
      <w:r w:rsidRPr="00261BC2">
        <w:rPr>
          <w:i/>
        </w:rPr>
        <w:t xml:space="preserve"> </w:t>
      </w:r>
    </w:p>
    <w:p w:rsidR="00BF7012" w:rsidRPr="00261BC2" w:rsidRDefault="00570AE3" w:rsidP="006341C6">
      <w:pPr>
        <w:pStyle w:val="ListParagraph"/>
        <w:numPr>
          <w:ilvl w:val="0"/>
          <w:numId w:val="10"/>
        </w:numPr>
        <w:shd w:val="clear" w:color="auto" w:fill="FFFFFF"/>
        <w:suppressAutoHyphens w:val="0"/>
        <w:ind w:right="360"/>
        <w:textAlignment w:val="baseline"/>
        <w:rPr>
          <w:color w:val="222222"/>
          <w:lang w:eastAsia="en-US"/>
        </w:rPr>
      </w:pPr>
      <w:r w:rsidRPr="00261BC2">
        <w:rPr>
          <w:color w:val="222222"/>
          <w:lang w:eastAsia="en-US"/>
        </w:rPr>
        <w:t xml:space="preserve">Jones, </w:t>
      </w:r>
      <w:r w:rsidR="009C2C61" w:rsidRPr="00261BC2">
        <w:rPr>
          <w:color w:val="333333"/>
          <w:shd w:val="clear" w:color="auto" w:fill="FFFFFF"/>
        </w:rPr>
        <w:t>Taleghani-Nikazm</w:t>
      </w:r>
      <w:r w:rsidRPr="00261BC2">
        <w:rPr>
          <w:color w:val="222222"/>
          <w:lang w:eastAsia="en-US"/>
        </w:rPr>
        <w:t xml:space="preserve">, </w:t>
      </w:r>
      <w:r w:rsidR="00926B3E" w:rsidRPr="00261BC2">
        <w:rPr>
          <w:b/>
          <w:color w:val="222222"/>
          <w:lang w:eastAsia="en-US"/>
        </w:rPr>
        <w:t>unanimously approved</w:t>
      </w:r>
      <w:r w:rsidRPr="00261BC2">
        <w:rPr>
          <w:color w:val="222222"/>
          <w:lang w:eastAsia="en-US"/>
        </w:rPr>
        <w:t xml:space="preserve"> </w:t>
      </w:r>
      <w:r w:rsidR="00457DCF" w:rsidRPr="00261BC2">
        <w:rPr>
          <w:i/>
          <w:color w:val="222222"/>
          <w:lang w:eastAsia="en-US"/>
        </w:rPr>
        <w:t>wi</w:t>
      </w:r>
      <w:r w:rsidR="00261BC2" w:rsidRPr="00261BC2">
        <w:rPr>
          <w:i/>
          <w:color w:val="222222"/>
          <w:lang w:eastAsia="en-US"/>
        </w:rPr>
        <w:t xml:space="preserve">th two suggestions </w:t>
      </w:r>
      <w:r w:rsidR="00457DCF" w:rsidRPr="00261BC2">
        <w:rPr>
          <w:i/>
          <w:color w:val="222222"/>
          <w:lang w:eastAsia="en-US"/>
        </w:rPr>
        <w:t>(in italics above)</w:t>
      </w:r>
    </w:p>
    <w:p w:rsidR="00926B3E" w:rsidRPr="00457DCF" w:rsidRDefault="00926B3E" w:rsidP="00926B3E">
      <w:pPr>
        <w:shd w:val="clear" w:color="auto" w:fill="FFFFFF"/>
        <w:suppressAutoHyphens w:val="0"/>
        <w:ind w:right="360"/>
        <w:textAlignment w:val="baseline"/>
        <w:rPr>
          <w:color w:val="222222"/>
          <w:lang w:eastAsia="en-US"/>
        </w:rPr>
      </w:pPr>
    </w:p>
    <w:p w:rsidR="00BF7012" w:rsidRPr="00457DCF" w:rsidRDefault="00BF7012" w:rsidP="00D07E22">
      <w:pPr>
        <w:numPr>
          <w:ilvl w:val="0"/>
          <w:numId w:val="4"/>
        </w:numPr>
        <w:shd w:val="clear" w:color="auto" w:fill="FFFFFF"/>
        <w:suppressAutoHyphens w:val="0"/>
        <w:ind w:right="360"/>
        <w:textAlignment w:val="baseline"/>
        <w:rPr>
          <w:color w:val="222222"/>
          <w:lang w:eastAsia="en-US"/>
        </w:rPr>
      </w:pPr>
      <w:r w:rsidRPr="00457DCF">
        <w:rPr>
          <w:color w:val="222222"/>
          <w:bdr w:val="none" w:sz="0" w:space="0" w:color="auto" w:frame="1"/>
          <w:lang w:eastAsia="en-US"/>
        </w:rPr>
        <w:lastRenderedPageBreak/>
        <w:t xml:space="preserve">Kinesiology: </w:t>
      </w:r>
      <w:proofErr w:type="spellStart"/>
      <w:r w:rsidRPr="00457DCF">
        <w:rPr>
          <w:color w:val="222222"/>
          <w:bdr w:val="none" w:sz="0" w:space="0" w:color="auto" w:frame="1"/>
          <w:lang w:eastAsia="en-US"/>
        </w:rPr>
        <w:t>Spt</w:t>
      </w:r>
      <w:proofErr w:type="spellEnd"/>
      <w:r w:rsidRPr="00457DCF">
        <w:rPr>
          <w:color w:val="222222"/>
          <w:bdr w:val="none" w:sz="0" w:space="0" w:color="auto" w:frame="1"/>
          <w:lang w:eastAsia="en-US"/>
        </w:rPr>
        <w:t xml:space="preserve"> </w:t>
      </w:r>
      <w:proofErr w:type="spellStart"/>
      <w:r w:rsidRPr="00457DCF">
        <w:rPr>
          <w:color w:val="222222"/>
          <w:bdr w:val="none" w:sz="0" w:space="0" w:color="auto" w:frame="1"/>
          <w:lang w:eastAsia="en-US"/>
        </w:rPr>
        <w:t>Indsty</w:t>
      </w:r>
      <w:proofErr w:type="spellEnd"/>
      <w:r w:rsidRPr="00457DCF">
        <w:rPr>
          <w:color w:val="222222"/>
          <w:bdr w:val="none" w:sz="0" w:space="0" w:color="auto" w:frame="1"/>
          <w:lang w:eastAsia="en-US"/>
        </w:rPr>
        <w:t xml:space="preserve"> </w:t>
      </w:r>
      <w:proofErr w:type="spellStart"/>
      <w:r w:rsidRPr="00457DCF">
        <w:rPr>
          <w:color w:val="222222"/>
          <w:bdr w:val="none" w:sz="0" w:space="0" w:color="auto" w:frame="1"/>
          <w:lang w:eastAsia="en-US"/>
        </w:rPr>
        <w:t>Spt</w:t>
      </w:r>
      <w:proofErr w:type="spellEnd"/>
      <w:r w:rsidRPr="00457DCF">
        <w:rPr>
          <w:color w:val="222222"/>
          <w:bdr w:val="none" w:sz="0" w:space="0" w:color="auto" w:frame="1"/>
          <w:lang w:eastAsia="en-US"/>
        </w:rPr>
        <w:t xml:space="preserve"> </w:t>
      </w:r>
      <w:proofErr w:type="spellStart"/>
      <w:r w:rsidRPr="00457DCF">
        <w:rPr>
          <w:color w:val="222222"/>
          <w:bdr w:val="none" w:sz="0" w:space="0" w:color="auto" w:frame="1"/>
          <w:lang w:eastAsia="en-US"/>
        </w:rPr>
        <w:t>Mgt</w:t>
      </w:r>
      <w:proofErr w:type="spellEnd"/>
      <w:r w:rsidRPr="00457DCF">
        <w:rPr>
          <w:color w:val="222222"/>
          <w:bdr w:val="none" w:sz="0" w:space="0" w:color="auto" w:frame="1"/>
          <w:lang w:eastAsia="en-US"/>
        </w:rPr>
        <w:t xml:space="preserve"> 2210 (return; existing course with GE Historical Study; request for 100% DL delivery)</w:t>
      </w:r>
      <w:r w:rsidR="00D07E22" w:rsidRPr="00457DCF">
        <w:rPr>
          <w:color w:val="222222"/>
          <w:bdr w:val="none" w:sz="0" w:space="0" w:color="auto" w:frame="1"/>
          <w:lang w:eastAsia="en-US"/>
        </w:rPr>
        <w:t xml:space="preserve"> &amp; Kinesiology: </w:t>
      </w:r>
      <w:proofErr w:type="spellStart"/>
      <w:r w:rsidR="00D07E22" w:rsidRPr="00457DCF">
        <w:rPr>
          <w:color w:val="222222"/>
          <w:bdr w:val="none" w:sz="0" w:space="0" w:color="auto" w:frame="1"/>
          <w:lang w:eastAsia="en-US"/>
        </w:rPr>
        <w:t>Spt</w:t>
      </w:r>
      <w:proofErr w:type="spellEnd"/>
      <w:r w:rsidR="00D07E22" w:rsidRPr="00457DCF">
        <w:rPr>
          <w:color w:val="222222"/>
          <w:bdr w:val="none" w:sz="0" w:space="0" w:color="auto" w:frame="1"/>
          <w:lang w:eastAsia="en-US"/>
        </w:rPr>
        <w:t xml:space="preserve"> </w:t>
      </w:r>
      <w:proofErr w:type="spellStart"/>
      <w:r w:rsidR="00D07E22" w:rsidRPr="00457DCF">
        <w:rPr>
          <w:color w:val="222222"/>
          <w:bdr w:val="none" w:sz="0" w:space="0" w:color="auto" w:frame="1"/>
          <w:lang w:eastAsia="en-US"/>
        </w:rPr>
        <w:t>Indsty</w:t>
      </w:r>
      <w:proofErr w:type="spellEnd"/>
      <w:r w:rsidR="00D07E22" w:rsidRPr="00457DCF">
        <w:rPr>
          <w:color w:val="222222"/>
          <w:bdr w:val="none" w:sz="0" w:space="0" w:color="auto" w:frame="1"/>
          <w:lang w:eastAsia="en-US"/>
        </w:rPr>
        <w:t xml:space="preserve"> </w:t>
      </w:r>
      <w:proofErr w:type="spellStart"/>
      <w:r w:rsidR="00D07E22" w:rsidRPr="00457DCF">
        <w:rPr>
          <w:color w:val="222222"/>
          <w:bdr w:val="none" w:sz="0" w:space="0" w:color="auto" w:frame="1"/>
          <w:lang w:eastAsia="en-US"/>
        </w:rPr>
        <w:t>Spt</w:t>
      </w:r>
      <w:proofErr w:type="spellEnd"/>
      <w:r w:rsidR="00D07E22" w:rsidRPr="00457DCF">
        <w:rPr>
          <w:color w:val="222222"/>
          <w:bdr w:val="none" w:sz="0" w:space="0" w:color="auto" w:frame="1"/>
          <w:lang w:eastAsia="en-US"/>
        </w:rPr>
        <w:t xml:space="preserve"> </w:t>
      </w:r>
      <w:proofErr w:type="spellStart"/>
      <w:r w:rsidR="00D07E22" w:rsidRPr="00457DCF">
        <w:rPr>
          <w:color w:val="222222"/>
          <w:bdr w:val="none" w:sz="0" w:space="0" w:color="auto" w:frame="1"/>
          <w:lang w:eastAsia="en-US"/>
        </w:rPr>
        <w:t>Mgt</w:t>
      </w:r>
      <w:proofErr w:type="spellEnd"/>
      <w:r w:rsidR="00D07E22" w:rsidRPr="00457DCF">
        <w:rPr>
          <w:color w:val="222222"/>
          <w:bdr w:val="none" w:sz="0" w:space="0" w:color="auto" w:frame="1"/>
          <w:lang w:eastAsia="en-US"/>
        </w:rPr>
        <w:t xml:space="preserve"> 2211 (return; existing course with GE Historical Study; request for 100% DL delivery)</w:t>
      </w:r>
    </w:p>
    <w:p w:rsidR="00B91797" w:rsidRPr="00816747" w:rsidRDefault="00457DCF" w:rsidP="00816747">
      <w:pPr>
        <w:pStyle w:val="ListParagraph"/>
        <w:numPr>
          <w:ilvl w:val="0"/>
          <w:numId w:val="16"/>
        </w:numPr>
        <w:shd w:val="clear" w:color="auto" w:fill="FFFFFF"/>
        <w:suppressAutoHyphens w:val="0"/>
        <w:ind w:right="360"/>
        <w:textAlignment w:val="baseline"/>
        <w:rPr>
          <w:color w:val="222222"/>
          <w:lang w:eastAsia="en-US"/>
        </w:rPr>
      </w:pPr>
      <w:r w:rsidRPr="00816747">
        <w:rPr>
          <w:b/>
          <w:color w:val="222222"/>
          <w:lang w:eastAsia="en-US"/>
        </w:rPr>
        <w:t>Online s</w:t>
      </w:r>
      <w:r w:rsidR="00B91797" w:rsidRPr="00816747">
        <w:rPr>
          <w:b/>
          <w:color w:val="222222"/>
          <w:lang w:eastAsia="en-US"/>
        </w:rPr>
        <w:t xml:space="preserve">yllabus: </w:t>
      </w:r>
    </w:p>
    <w:p w:rsidR="00926B3E" w:rsidRPr="00816747" w:rsidRDefault="00816747" w:rsidP="00816747">
      <w:pPr>
        <w:pStyle w:val="ListParagraph"/>
        <w:numPr>
          <w:ilvl w:val="1"/>
          <w:numId w:val="16"/>
        </w:numPr>
        <w:shd w:val="clear" w:color="auto" w:fill="FFFFFF"/>
        <w:suppressAutoHyphens w:val="0"/>
        <w:ind w:right="360"/>
        <w:textAlignment w:val="baseline"/>
        <w:rPr>
          <w:color w:val="222222"/>
          <w:lang w:eastAsia="en-US"/>
        </w:rPr>
      </w:pPr>
      <w:r w:rsidRPr="00816747">
        <w:rPr>
          <w:b/>
          <w:color w:val="222222"/>
          <w:lang w:eastAsia="en-US"/>
        </w:rPr>
        <w:t xml:space="preserve">Page 5 of the online syllabus for both 2210 and 2211 lists the course grades which include a final examination to be submitted online. The final page of the course schedule for both courses lists the final examination as a summary essay. Please clarify if the final assignment is an examination or an essay. </w:t>
      </w:r>
    </w:p>
    <w:p w:rsidR="00816747" w:rsidRPr="00816747" w:rsidRDefault="00926B3E" w:rsidP="00816747">
      <w:pPr>
        <w:pStyle w:val="ListParagraph"/>
        <w:numPr>
          <w:ilvl w:val="1"/>
          <w:numId w:val="16"/>
        </w:numPr>
        <w:shd w:val="clear" w:color="auto" w:fill="FFFFFF"/>
        <w:suppressAutoHyphens w:val="0"/>
        <w:ind w:right="360"/>
        <w:textAlignment w:val="baseline"/>
        <w:rPr>
          <w:color w:val="222222"/>
          <w:lang w:eastAsia="en-US"/>
        </w:rPr>
      </w:pPr>
      <w:r w:rsidRPr="00816747">
        <w:rPr>
          <w:b/>
          <w:color w:val="222222"/>
          <w:lang w:eastAsia="en-US"/>
        </w:rPr>
        <w:t xml:space="preserve">ELOs are listed for topics in each module. Panel is unclear how the course is fulfilling ELO3, which is listed next to all sources. </w:t>
      </w:r>
      <w:r w:rsidR="00B91797" w:rsidRPr="00816747">
        <w:rPr>
          <w:b/>
          <w:color w:val="222222"/>
          <w:lang w:eastAsia="en-US"/>
        </w:rPr>
        <w:t xml:space="preserve">ELO3 for GE Historical Study is “students speak and write critically about primary and secondary historical sources by examining diverse interpretations of past events and ideas in their historical contexts.” </w:t>
      </w:r>
      <w:r w:rsidR="003D4D57" w:rsidRPr="00816747">
        <w:rPr>
          <w:b/>
          <w:color w:val="222222"/>
          <w:lang w:eastAsia="en-US"/>
        </w:rPr>
        <w:t xml:space="preserve">Clarify how students speak and write critically about these sources in order to meet ELO3. </w:t>
      </w:r>
    </w:p>
    <w:p w:rsidR="003D4D57" w:rsidRPr="00816747" w:rsidRDefault="00816747" w:rsidP="00816747">
      <w:pPr>
        <w:pStyle w:val="ListParagraph"/>
        <w:numPr>
          <w:ilvl w:val="0"/>
          <w:numId w:val="16"/>
        </w:numPr>
        <w:shd w:val="clear" w:color="auto" w:fill="FFFFFF"/>
        <w:suppressAutoHyphens w:val="0"/>
        <w:ind w:right="360"/>
        <w:textAlignment w:val="baseline"/>
        <w:rPr>
          <w:color w:val="222222"/>
          <w:lang w:eastAsia="en-US"/>
        </w:rPr>
      </w:pPr>
      <w:r>
        <w:rPr>
          <w:b/>
          <w:color w:val="222222"/>
          <w:lang w:eastAsia="en-US"/>
        </w:rPr>
        <w:t xml:space="preserve">In-class syllabi </w:t>
      </w:r>
      <w:r w:rsidR="003D4D57" w:rsidRPr="00816747">
        <w:rPr>
          <w:b/>
          <w:color w:val="222222"/>
          <w:lang w:eastAsia="en-US"/>
        </w:rPr>
        <w:t xml:space="preserve">still </w:t>
      </w:r>
      <w:r>
        <w:rPr>
          <w:b/>
          <w:color w:val="222222"/>
          <w:lang w:eastAsia="en-US"/>
        </w:rPr>
        <w:t>use</w:t>
      </w:r>
      <w:r w:rsidR="003D4D57" w:rsidRPr="00816747">
        <w:rPr>
          <w:b/>
          <w:color w:val="222222"/>
          <w:lang w:eastAsia="en-US"/>
        </w:rPr>
        <w:t xml:space="preserve"> outdated </w:t>
      </w:r>
      <w:r>
        <w:rPr>
          <w:b/>
          <w:color w:val="222222"/>
          <w:lang w:eastAsia="en-US"/>
        </w:rPr>
        <w:t>GEC goals and expected learning outcomes used under quarters. Please update syllabi using current language for GE Historical Study listed below</w:t>
      </w:r>
      <w:r w:rsidR="003D4D57" w:rsidRPr="00816747">
        <w:rPr>
          <w:b/>
          <w:color w:val="222222"/>
          <w:lang w:eastAsia="en-US"/>
        </w:rPr>
        <w:t>:</w:t>
      </w:r>
    </w:p>
    <w:p w:rsidR="003D4D57" w:rsidRPr="00457DCF" w:rsidRDefault="003D4D57" w:rsidP="003D4D57">
      <w:pPr>
        <w:pStyle w:val="ListParagraph"/>
        <w:shd w:val="clear" w:color="auto" w:fill="FFFFFF"/>
        <w:suppressAutoHyphens w:val="0"/>
        <w:ind w:left="1800" w:right="360"/>
        <w:textAlignment w:val="baseline"/>
        <w:rPr>
          <w:color w:val="222222"/>
          <w:lang w:eastAsia="en-US"/>
        </w:rPr>
      </w:pPr>
    </w:p>
    <w:p w:rsidR="003D4D57" w:rsidRPr="00955C41" w:rsidRDefault="003D4D57" w:rsidP="003D4D57">
      <w:pPr>
        <w:pStyle w:val="ListParagraph"/>
        <w:shd w:val="clear" w:color="auto" w:fill="FFFFFF"/>
        <w:suppressAutoHyphens w:val="0"/>
        <w:ind w:left="1800" w:right="360"/>
        <w:textAlignment w:val="baseline"/>
        <w:rPr>
          <w:b/>
        </w:rPr>
      </w:pPr>
      <w:r w:rsidRPr="00955C41">
        <w:rPr>
          <w:b/>
        </w:rPr>
        <w:t xml:space="preserve">Goals: Students recognize how past events are studied and how they influence today’s society and the human condition. </w:t>
      </w:r>
    </w:p>
    <w:p w:rsidR="003D4D57" w:rsidRPr="00955C41" w:rsidRDefault="003D4D57" w:rsidP="003D4D57">
      <w:pPr>
        <w:pStyle w:val="ListParagraph"/>
        <w:shd w:val="clear" w:color="auto" w:fill="FFFFFF"/>
        <w:suppressAutoHyphens w:val="0"/>
        <w:ind w:left="1800" w:right="360"/>
        <w:textAlignment w:val="baseline"/>
        <w:rPr>
          <w:b/>
        </w:rPr>
      </w:pPr>
    </w:p>
    <w:p w:rsidR="003D4D57" w:rsidRPr="00955C41" w:rsidRDefault="003D4D57" w:rsidP="003D4D57">
      <w:pPr>
        <w:pStyle w:val="ListParagraph"/>
        <w:shd w:val="clear" w:color="auto" w:fill="FFFFFF"/>
        <w:suppressAutoHyphens w:val="0"/>
        <w:ind w:left="1800" w:right="360"/>
        <w:textAlignment w:val="baseline"/>
        <w:rPr>
          <w:b/>
        </w:rPr>
      </w:pPr>
      <w:r w:rsidRPr="00955C41">
        <w:rPr>
          <w:b/>
        </w:rPr>
        <w:t xml:space="preserve">Expected Learning Outcomes: </w:t>
      </w:r>
    </w:p>
    <w:p w:rsidR="003D4D57" w:rsidRPr="00955C41" w:rsidRDefault="003D4D57" w:rsidP="003D4D57">
      <w:pPr>
        <w:pStyle w:val="ListParagraph"/>
        <w:numPr>
          <w:ilvl w:val="0"/>
          <w:numId w:val="11"/>
        </w:numPr>
        <w:shd w:val="clear" w:color="auto" w:fill="FFFFFF"/>
        <w:suppressAutoHyphens w:val="0"/>
        <w:ind w:right="360"/>
        <w:textAlignment w:val="baseline"/>
        <w:rPr>
          <w:b/>
        </w:rPr>
      </w:pPr>
      <w:r w:rsidRPr="00955C41">
        <w:rPr>
          <w:b/>
        </w:rPr>
        <w:t xml:space="preserve">Students construct an integrated perspective on history and the factors that shape human activity. </w:t>
      </w:r>
    </w:p>
    <w:p w:rsidR="003D4D57" w:rsidRPr="00955C41" w:rsidRDefault="003D4D57" w:rsidP="003D4D57">
      <w:pPr>
        <w:pStyle w:val="ListParagraph"/>
        <w:numPr>
          <w:ilvl w:val="0"/>
          <w:numId w:val="11"/>
        </w:numPr>
        <w:shd w:val="clear" w:color="auto" w:fill="FFFFFF"/>
        <w:suppressAutoHyphens w:val="0"/>
        <w:ind w:right="360"/>
        <w:textAlignment w:val="baseline"/>
        <w:rPr>
          <w:b/>
        </w:rPr>
      </w:pPr>
      <w:r w:rsidRPr="00955C41">
        <w:rPr>
          <w:b/>
        </w:rPr>
        <w:t xml:space="preserve">Students describe and analyze the origins and nature of contemporary issues. </w:t>
      </w:r>
    </w:p>
    <w:p w:rsidR="003D4D57" w:rsidRPr="00955C41" w:rsidRDefault="003D4D57" w:rsidP="003D4D57">
      <w:pPr>
        <w:pStyle w:val="ListParagraph"/>
        <w:numPr>
          <w:ilvl w:val="0"/>
          <w:numId w:val="11"/>
        </w:numPr>
        <w:shd w:val="clear" w:color="auto" w:fill="FFFFFF"/>
        <w:suppressAutoHyphens w:val="0"/>
        <w:ind w:right="360"/>
        <w:textAlignment w:val="baseline"/>
        <w:rPr>
          <w:b/>
          <w:color w:val="222222"/>
          <w:lang w:eastAsia="en-US"/>
        </w:rPr>
      </w:pPr>
      <w:r w:rsidRPr="00955C41">
        <w:rPr>
          <w:b/>
        </w:rPr>
        <w:t>Students speak and write critically about primary and secondary historical sources by examining diverse interpretations of past events and ideas in their historical contexts.</w:t>
      </w:r>
    </w:p>
    <w:p w:rsidR="00B14ABB" w:rsidRPr="00457DCF" w:rsidRDefault="003D4D57" w:rsidP="003D4D57">
      <w:pPr>
        <w:pStyle w:val="ListParagraph"/>
        <w:numPr>
          <w:ilvl w:val="0"/>
          <w:numId w:val="10"/>
        </w:numPr>
        <w:shd w:val="clear" w:color="auto" w:fill="FFFFFF"/>
        <w:suppressAutoHyphens w:val="0"/>
        <w:ind w:right="360"/>
        <w:textAlignment w:val="baseline"/>
        <w:rPr>
          <w:color w:val="222222"/>
          <w:lang w:eastAsia="en-US"/>
        </w:rPr>
      </w:pPr>
      <w:r w:rsidRPr="00457DCF">
        <w:rPr>
          <w:b/>
          <w:color w:val="222222"/>
          <w:lang w:eastAsia="en-US"/>
        </w:rPr>
        <w:t xml:space="preserve">Assessment plan: </w:t>
      </w:r>
    </w:p>
    <w:p w:rsidR="008A2E25" w:rsidRPr="008A2E25" w:rsidRDefault="003D4D57" w:rsidP="001A2075">
      <w:pPr>
        <w:pStyle w:val="ListParagraph"/>
        <w:numPr>
          <w:ilvl w:val="1"/>
          <w:numId w:val="10"/>
        </w:numPr>
        <w:shd w:val="clear" w:color="auto" w:fill="FFFFFF"/>
        <w:suppressAutoHyphens w:val="0"/>
        <w:ind w:right="360"/>
        <w:textAlignment w:val="baseline"/>
        <w:rPr>
          <w:b/>
          <w:color w:val="222222"/>
          <w:lang w:eastAsia="en-US"/>
        </w:rPr>
      </w:pPr>
      <w:r w:rsidRPr="008A2E25">
        <w:rPr>
          <w:b/>
          <w:color w:val="222222"/>
          <w:lang w:eastAsia="en-US"/>
        </w:rPr>
        <w:t>The assessment plan</w:t>
      </w:r>
      <w:r w:rsidR="008A2E25">
        <w:rPr>
          <w:b/>
          <w:color w:val="222222"/>
          <w:lang w:eastAsia="en-US"/>
        </w:rPr>
        <w:t>s</w:t>
      </w:r>
      <w:r w:rsidRPr="008A2E25">
        <w:rPr>
          <w:b/>
          <w:color w:val="222222"/>
          <w:lang w:eastAsia="en-US"/>
        </w:rPr>
        <w:t xml:space="preserve"> included</w:t>
      </w:r>
      <w:r w:rsidR="008A2E25">
        <w:rPr>
          <w:b/>
          <w:color w:val="222222"/>
          <w:lang w:eastAsia="en-US"/>
        </w:rPr>
        <w:t xml:space="preserve"> on page 7 of the online syllabi</w:t>
      </w:r>
      <w:r w:rsidRPr="008A2E25">
        <w:rPr>
          <w:b/>
          <w:color w:val="222222"/>
          <w:lang w:eastAsia="en-US"/>
        </w:rPr>
        <w:t xml:space="preserve"> </w:t>
      </w:r>
      <w:r w:rsidR="008A2E25">
        <w:rPr>
          <w:b/>
          <w:color w:val="222222"/>
          <w:lang w:eastAsia="en-US"/>
        </w:rPr>
        <w:t xml:space="preserve">state </w:t>
      </w:r>
      <w:r w:rsidR="009C2C61" w:rsidRPr="008A2E25">
        <w:rPr>
          <w:b/>
          <w:color w:val="222222"/>
          <w:lang w:eastAsia="en-US"/>
        </w:rPr>
        <w:t>that “</w:t>
      </w:r>
      <w:r w:rsidR="008A2E25" w:rsidRPr="008A2E25">
        <w:rPr>
          <w:b/>
        </w:rPr>
        <w:t>Historical Study learning goals shall be assessed and reported in this course by comparing student performance on the term paper (pretest) and final examination paper (post-test) in each assessed learning outcome (ELO1, ELO2, ELO3) on a scale from 0-4.”</w:t>
      </w:r>
      <w:r w:rsidR="009C2C61" w:rsidRPr="008A2E25">
        <w:rPr>
          <w:b/>
          <w:color w:val="222222"/>
          <w:lang w:eastAsia="en-US"/>
        </w:rPr>
        <w:t xml:space="preserve"> </w:t>
      </w:r>
      <w:r w:rsidR="008A2E25" w:rsidRPr="008A2E25">
        <w:rPr>
          <w:b/>
          <w:color w:val="222222"/>
          <w:lang w:eastAsia="en-US"/>
        </w:rPr>
        <w:t xml:space="preserve">Two papers with different prompts are not an appropriate pre and post-test. The same question(s) should be used in a pre and post-test. </w:t>
      </w:r>
    </w:p>
    <w:p w:rsidR="003D4D57" w:rsidRPr="008A2E25" w:rsidRDefault="009C2C61" w:rsidP="001A2075">
      <w:pPr>
        <w:pStyle w:val="ListParagraph"/>
        <w:numPr>
          <w:ilvl w:val="1"/>
          <w:numId w:val="10"/>
        </w:numPr>
        <w:shd w:val="clear" w:color="auto" w:fill="FFFFFF"/>
        <w:suppressAutoHyphens w:val="0"/>
        <w:ind w:right="360"/>
        <w:textAlignment w:val="baseline"/>
        <w:rPr>
          <w:color w:val="222222"/>
          <w:lang w:eastAsia="en-US"/>
        </w:rPr>
      </w:pPr>
      <w:r w:rsidRPr="008A2E25">
        <w:rPr>
          <w:b/>
          <w:color w:val="222222"/>
          <w:lang w:eastAsia="en-US"/>
        </w:rPr>
        <w:t>Additionally, a pre-test cannot be given within the 13</w:t>
      </w:r>
      <w:r w:rsidRPr="008A2E25">
        <w:rPr>
          <w:b/>
          <w:color w:val="222222"/>
          <w:vertAlign w:val="superscript"/>
          <w:lang w:eastAsia="en-US"/>
        </w:rPr>
        <w:t>th</w:t>
      </w:r>
      <w:r w:rsidRPr="008A2E25">
        <w:rPr>
          <w:b/>
          <w:color w:val="222222"/>
          <w:lang w:eastAsia="en-US"/>
        </w:rPr>
        <w:t xml:space="preserve"> week of class as a term paper. A pre-test </w:t>
      </w:r>
      <w:r w:rsidR="00B14ABB" w:rsidRPr="008A2E25">
        <w:rPr>
          <w:b/>
          <w:color w:val="222222"/>
          <w:lang w:eastAsia="en-US"/>
        </w:rPr>
        <w:t>assesses</w:t>
      </w:r>
      <w:r w:rsidRPr="008A2E25">
        <w:rPr>
          <w:b/>
          <w:color w:val="222222"/>
          <w:lang w:eastAsia="en-US"/>
        </w:rPr>
        <w:t xml:space="preserve"> what a student knows at the beginning of a course </w:t>
      </w:r>
      <w:r w:rsidR="008A2E25">
        <w:rPr>
          <w:b/>
          <w:color w:val="222222"/>
          <w:lang w:eastAsia="en-US"/>
        </w:rPr>
        <w:t xml:space="preserve">as a means of comparison with post-test at the end of the course. </w:t>
      </w:r>
    </w:p>
    <w:p w:rsidR="00DD6DB0" w:rsidRPr="00DD6DB0" w:rsidRDefault="00DD6DB0" w:rsidP="00DD6DB0">
      <w:pPr>
        <w:pStyle w:val="ListParagraph"/>
        <w:numPr>
          <w:ilvl w:val="0"/>
          <w:numId w:val="10"/>
        </w:numPr>
        <w:shd w:val="clear" w:color="auto" w:fill="FFFFFF"/>
        <w:suppressAutoHyphens w:val="0"/>
        <w:ind w:right="360"/>
        <w:textAlignment w:val="baseline"/>
        <w:rPr>
          <w:color w:val="222222"/>
          <w:lang w:eastAsia="en-US"/>
        </w:rPr>
      </w:pPr>
      <w:r w:rsidRPr="00DD6DB0">
        <w:rPr>
          <w:color w:val="222222"/>
          <w:lang w:eastAsia="en-US"/>
        </w:rPr>
        <w:t xml:space="preserve">ASCCAS </w:t>
      </w:r>
      <w:r w:rsidR="00955C41">
        <w:rPr>
          <w:color w:val="222222"/>
          <w:lang w:eastAsia="en-US"/>
        </w:rPr>
        <w:t>will</w:t>
      </w:r>
      <w:r w:rsidRPr="00DD6DB0">
        <w:rPr>
          <w:color w:val="222222"/>
          <w:lang w:eastAsia="en-US"/>
        </w:rPr>
        <w:t xml:space="preserve"> send sample assessment plan from German 2256 to help Department of Human Sciences in developing appropriate assessment plan.</w:t>
      </w:r>
    </w:p>
    <w:p w:rsidR="00C04E5B" w:rsidRPr="00457DCF" w:rsidRDefault="009C2C61" w:rsidP="00BF7012">
      <w:pPr>
        <w:pStyle w:val="ListParagraph"/>
        <w:numPr>
          <w:ilvl w:val="0"/>
          <w:numId w:val="10"/>
        </w:numPr>
        <w:shd w:val="clear" w:color="auto" w:fill="FFFFFF"/>
        <w:suppressAutoHyphens w:val="0"/>
        <w:ind w:right="360"/>
        <w:textAlignment w:val="baseline"/>
        <w:rPr>
          <w:b/>
          <w:color w:val="222222"/>
          <w:lang w:eastAsia="en-US"/>
        </w:rPr>
      </w:pPr>
      <w:r w:rsidRPr="00457DCF">
        <w:rPr>
          <w:color w:val="333333"/>
          <w:shd w:val="clear" w:color="auto" w:fill="FFFFFF"/>
        </w:rPr>
        <w:lastRenderedPageBreak/>
        <w:t>Taleghani-Nikazm</w:t>
      </w:r>
      <w:r w:rsidR="00C04E5B" w:rsidRPr="00457DCF">
        <w:rPr>
          <w:color w:val="222222"/>
          <w:lang w:eastAsia="en-US"/>
        </w:rPr>
        <w:t xml:space="preserve">, Jones, </w:t>
      </w:r>
      <w:r w:rsidR="00926B3E" w:rsidRPr="00457DCF">
        <w:rPr>
          <w:b/>
          <w:color w:val="222222"/>
          <w:lang w:eastAsia="en-US"/>
        </w:rPr>
        <w:t>unanimously</w:t>
      </w:r>
      <w:r w:rsidR="00C04E5B" w:rsidRPr="00457DCF">
        <w:rPr>
          <w:b/>
          <w:color w:val="222222"/>
          <w:lang w:eastAsia="en-US"/>
        </w:rPr>
        <w:t xml:space="preserve"> approved with </w:t>
      </w:r>
      <w:r w:rsidR="00DD6DB0">
        <w:rPr>
          <w:b/>
          <w:color w:val="222222"/>
          <w:lang w:eastAsia="en-US"/>
        </w:rPr>
        <w:t>five</w:t>
      </w:r>
      <w:r w:rsidR="00C04E5B" w:rsidRPr="00457DCF">
        <w:rPr>
          <w:b/>
          <w:color w:val="222222"/>
          <w:lang w:eastAsia="en-US"/>
        </w:rPr>
        <w:t xml:space="preserve"> contingencies </w:t>
      </w:r>
      <w:r w:rsidR="003D4D57" w:rsidRPr="00457DCF">
        <w:rPr>
          <w:b/>
          <w:color w:val="222222"/>
          <w:lang w:eastAsia="en-US"/>
        </w:rPr>
        <w:t>(in bold above).</w:t>
      </w:r>
    </w:p>
    <w:p w:rsidR="00D07E22" w:rsidRPr="00457DCF" w:rsidRDefault="00D07E22" w:rsidP="00D07E22">
      <w:pPr>
        <w:shd w:val="clear" w:color="auto" w:fill="FFFFFF"/>
        <w:suppressAutoHyphens w:val="0"/>
        <w:ind w:right="360"/>
        <w:textAlignment w:val="baseline"/>
        <w:rPr>
          <w:b/>
          <w:color w:val="222222"/>
          <w:lang w:eastAsia="en-US"/>
        </w:rPr>
      </w:pPr>
    </w:p>
    <w:p w:rsidR="00BF7012" w:rsidRPr="00457DCF" w:rsidRDefault="00BF7012" w:rsidP="00BF7012">
      <w:pPr>
        <w:numPr>
          <w:ilvl w:val="0"/>
          <w:numId w:val="4"/>
        </w:numPr>
        <w:shd w:val="clear" w:color="auto" w:fill="FFFFFF"/>
        <w:suppressAutoHyphens w:val="0"/>
        <w:ind w:right="360"/>
        <w:textAlignment w:val="baseline"/>
        <w:rPr>
          <w:color w:val="222222"/>
          <w:lang w:eastAsia="en-US"/>
        </w:rPr>
      </w:pPr>
      <w:r w:rsidRPr="00457DCF">
        <w:rPr>
          <w:color w:val="222222"/>
          <w:bdr w:val="none" w:sz="0" w:space="0" w:color="auto" w:frame="1"/>
          <w:lang w:eastAsia="en-US"/>
        </w:rPr>
        <w:t>First-year Seminar—Pedro Pereira (new)</w:t>
      </w:r>
    </w:p>
    <w:p w:rsidR="000D7EBB" w:rsidRPr="00457DCF" w:rsidRDefault="000D7EBB" w:rsidP="00BF7012">
      <w:pPr>
        <w:pStyle w:val="ListParagraph"/>
        <w:numPr>
          <w:ilvl w:val="0"/>
          <w:numId w:val="10"/>
        </w:numPr>
        <w:shd w:val="clear" w:color="auto" w:fill="FFFFFF"/>
        <w:suppressAutoHyphens w:val="0"/>
        <w:ind w:right="360"/>
        <w:textAlignment w:val="baseline"/>
        <w:rPr>
          <w:color w:val="222222"/>
          <w:lang w:eastAsia="en-US"/>
        </w:rPr>
      </w:pPr>
      <w:r w:rsidRPr="00457DCF">
        <w:rPr>
          <w:i/>
          <w:color w:val="222222"/>
          <w:lang w:eastAsia="en-US"/>
        </w:rPr>
        <w:t>Suggestions:</w:t>
      </w:r>
    </w:p>
    <w:p w:rsidR="000D7EBB" w:rsidRPr="00457DCF" w:rsidRDefault="000D7EBB" w:rsidP="000D7EBB">
      <w:pPr>
        <w:pStyle w:val="ListParagraph"/>
        <w:numPr>
          <w:ilvl w:val="1"/>
          <w:numId w:val="10"/>
        </w:numPr>
        <w:shd w:val="clear" w:color="auto" w:fill="FFFFFF"/>
        <w:suppressAutoHyphens w:val="0"/>
        <w:ind w:right="360"/>
        <w:textAlignment w:val="baseline"/>
        <w:rPr>
          <w:color w:val="222222"/>
          <w:lang w:eastAsia="en-US"/>
        </w:rPr>
      </w:pPr>
      <w:r w:rsidRPr="00457DCF">
        <w:rPr>
          <w:i/>
          <w:color w:val="222222"/>
          <w:lang w:eastAsia="en-US"/>
        </w:rPr>
        <w:t>Percentages of grade composition on page 3 of the syllabus add up to 110%</w:t>
      </w:r>
      <w:r w:rsidR="00E95E07">
        <w:rPr>
          <w:i/>
          <w:color w:val="222222"/>
          <w:lang w:eastAsia="en-US"/>
        </w:rPr>
        <w:t>.</w:t>
      </w:r>
    </w:p>
    <w:p w:rsidR="00A90A45" w:rsidRPr="00457DCF" w:rsidRDefault="00A90A45" w:rsidP="00A90A45">
      <w:pPr>
        <w:pStyle w:val="ListParagraph"/>
        <w:numPr>
          <w:ilvl w:val="1"/>
          <w:numId w:val="8"/>
        </w:numPr>
        <w:shd w:val="clear" w:color="auto" w:fill="FFFFFF"/>
        <w:suppressAutoHyphens w:val="0"/>
        <w:ind w:right="360"/>
        <w:contextualSpacing w:val="0"/>
        <w:textAlignment w:val="baseline"/>
        <w:rPr>
          <w:i/>
          <w:color w:val="222222"/>
          <w:lang w:eastAsia="en-US"/>
        </w:rPr>
      </w:pPr>
      <w:r w:rsidRPr="00457DCF">
        <w:rPr>
          <w:i/>
          <w:color w:val="222222"/>
          <w:lang w:eastAsia="en-US"/>
        </w:rPr>
        <w:t xml:space="preserve">Disability statement includes former location in </w:t>
      </w:r>
      <w:proofErr w:type="spellStart"/>
      <w:r w:rsidRPr="00457DCF">
        <w:rPr>
          <w:i/>
          <w:color w:val="222222"/>
          <w:lang w:eastAsia="en-US"/>
        </w:rPr>
        <w:t>Pomerene</w:t>
      </w:r>
      <w:proofErr w:type="spellEnd"/>
      <w:r w:rsidRPr="00457DCF">
        <w:rPr>
          <w:i/>
          <w:color w:val="222222"/>
          <w:lang w:eastAsia="en-US"/>
        </w:rPr>
        <w:t xml:space="preserve"> Hall. Please update to include current location i</w:t>
      </w:r>
      <w:r w:rsidRPr="00457DCF">
        <w:rPr>
          <w:i/>
        </w:rPr>
        <w:t xml:space="preserve">n 098 Baker Hall, 113 W. 12th Avenue. See p. 15 of ASC Curriculum and Assessment Operations Manual </w:t>
      </w:r>
      <w:hyperlink r:id="rId9" w:history="1">
        <w:r w:rsidRPr="00457DCF">
          <w:rPr>
            <w:rStyle w:val="Hyperlink"/>
            <w:b/>
            <w:lang w:eastAsia="en-US"/>
          </w:rPr>
          <w:t>https://asccas.osu.edu/sites/asccas.osu.edu/files/ASC_CurrAssess_Operations_Manual.pdf</w:t>
        </w:r>
      </w:hyperlink>
    </w:p>
    <w:p w:rsidR="000D7EBB" w:rsidRPr="00457DCF" w:rsidRDefault="00A90A45" w:rsidP="00A90A45">
      <w:pPr>
        <w:pStyle w:val="ListParagraph"/>
        <w:numPr>
          <w:ilvl w:val="1"/>
          <w:numId w:val="8"/>
        </w:numPr>
        <w:shd w:val="clear" w:color="auto" w:fill="FFFFFF"/>
        <w:suppressAutoHyphens w:val="0"/>
        <w:ind w:right="360"/>
        <w:contextualSpacing w:val="0"/>
        <w:textAlignment w:val="baseline"/>
        <w:rPr>
          <w:i/>
          <w:color w:val="222222"/>
          <w:lang w:eastAsia="en-US"/>
        </w:rPr>
      </w:pPr>
      <w:r w:rsidRPr="00457DCF">
        <w:rPr>
          <w:i/>
        </w:rPr>
        <w:t xml:space="preserve">Change from “Freshman Seminar” to “First-Year Seminar” to reflect updated course name change. </w:t>
      </w:r>
      <w:hyperlink w:history="1"/>
    </w:p>
    <w:p w:rsidR="00283FF3" w:rsidRPr="00457DCF" w:rsidRDefault="000D7EBB" w:rsidP="00BF7012">
      <w:pPr>
        <w:pStyle w:val="ListParagraph"/>
        <w:numPr>
          <w:ilvl w:val="0"/>
          <w:numId w:val="10"/>
        </w:numPr>
        <w:shd w:val="clear" w:color="auto" w:fill="FFFFFF"/>
        <w:suppressAutoHyphens w:val="0"/>
        <w:ind w:right="360"/>
        <w:textAlignment w:val="baseline"/>
        <w:rPr>
          <w:color w:val="222222"/>
          <w:lang w:eastAsia="en-US"/>
        </w:rPr>
      </w:pPr>
      <w:r w:rsidRPr="00457DCF">
        <w:rPr>
          <w:color w:val="333333"/>
          <w:shd w:val="clear" w:color="auto" w:fill="FFFFFF"/>
        </w:rPr>
        <w:t>Taleghani-Nikazm</w:t>
      </w:r>
      <w:r w:rsidR="00283FF3" w:rsidRPr="00457DCF">
        <w:rPr>
          <w:color w:val="222222"/>
          <w:lang w:eastAsia="en-US"/>
        </w:rPr>
        <w:t xml:space="preserve">, Jones – </w:t>
      </w:r>
      <w:r w:rsidR="00A90A45" w:rsidRPr="00457DCF">
        <w:rPr>
          <w:b/>
          <w:color w:val="222222"/>
          <w:lang w:eastAsia="en-US"/>
        </w:rPr>
        <w:t xml:space="preserve">unanimously approved </w:t>
      </w:r>
      <w:r w:rsidR="00A90A45" w:rsidRPr="00457DCF">
        <w:rPr>
          <w:color w:val="222222"/>
          <w:lang w:eastAsia="en-US"/>
        </w:rPr>
        <w:t xml:space="preserve">with </w:t>
      </w:r>
      <w:r w:rsidR="00DD6DB0">
        <w:rPr>
          <w:color w:val="222222"/>
          <w:lang w:eastAsia="en-US"/>
        </w:rPr>
        <w:t>three</w:t>
      </w:r>
      <w:r w:rsidR="00A90A45" w:rsidRPr="00457DCF">
        <w:rPr>
          <w:color w:val="222222"/>
          <w:lang w:eastAsia="en-US"/>
        </w:rPr>
        <w:t xml:space="preserve"> suggestions </w:t>
      </w:r>
      <w:r w:rsidR="00A90A45" w:rsidRPr="00457DCF">
        <w:rPr>
          <w:i/>
          <w:color w:val="222222"/>
          <w:lang w:eastAsia="en-US"/>
        </w:rPr>
        <w:t>(in italics</w:t>
      </w:r>
      <w:r w:rsidR="00DD6DB0">
        <w:rPr>
          <w:i/>
          <w:color w:val="222222"/>
          <w:lang w:eastAsia="en-US"/>
        </w:rPr>
        <w:t xml:space="preserve"> above</w:t>
      </w:r>
      <w:r w:rsidR="00A90A45" w:rsidRPr="00457DCF">
        <w:rPr>
          <w:i/>
          <w:color w:val="222222"/>
          <w:lang w:eastAsia="en-US"/>
        </w:rPr>
        <w:t>)</w:t>
      </w:r>
    </w:p>
    <w:p w:rsidR="00D07E22" w:rsidRPr="00457DCF" w:rsidRDefault="00D07E22" w:rsidP="00D07E22">
      <w:pPr>
        <w:shd w:val="clear" w:color="auto" w:fill="FFFFFF"/>
        <w:suppressAutoHyphens w:val="0"/>
        <w:ind w:right="360"/>
        <w:textAlignment w:val="baseline"/>
        <w:rPr>
          <w:color w:val="222222"/>
          <w:lang w:eastAsia="en-US"/>
        </w:rPr>
      </w:pPr>
    </w:p>
    <w:p w:rsidR="00A354B1" w:rsidRDefault="00BF7012" w:rsidP="00A354B1">
      <w:pPr>
        <w:numPr>
          <w:ilvl w:val="0"/>
          <w:numId w:val="4"/>
        </w:numPr>
        <w:shd w:val="clear" w:color="auto" w:fill="FFFFFF"/>
        <w:suppressAutoHyphens w:val="0"/>
        <w:ind w:right="360"/>
        <w:textAlignment w:val="baseline"/>
        <w:rPr>
          <w:color w:val="222222"/>
          <w:lang w:eastAsia="en-US"/>
        </w:rPr>
      </w:pPr>
      <w:r w:rsidRPr="00457DCF">
        <w:rPr>
          <w:color w:val="222222"/>
          <w:bdr w:val="none" w:sz="0" w:space="0" w:color="auto" w:frame="1"/>
          <w:lang w:eastAsia="en-US"/>
        </w:rPr>
        <w:t>German 6601 (new course)</w:t>
      </w:r>
    </w:p>
    <w:p w:rsidR="00A354B1" w:rsidRPr="00A354B1" w:rsidRDefault="00A354B1" w:rsidP="00A354B1">
      <w:pPr>
        <w:pStyle w:val="ListParagraph"/>
        <w:numPr>
          <w:ilvl w:val="0"/>
          <w:numId w:val="15"/>
        </w:numPr>
        <w:shd w:val="clear" w:color="auto" w:fill="FFFFFF"/>
        <w:suppressAutoHyphens w:val="0"/>
        <w:ind w:right="360"/>
        <w:textAlignment w:val="baseline"/>
        <w:rPr>
          <w:color w:val="222222"/>
          <w:lang w:eastAsia="en-US"/>
        </w:rPr>
      </w:pPr>
      <w:r>
        <w:rPr>
          <w:color w:val="222222"/>
          <w:lang w:eastAsia="en-US"/>
        </w:rPr>
        <w:t>ASCCAS will change max repeatability from 25 credit hours to 10 credit hours before advancing</w:t>
      </w:r>
      <w:r w:rsidR="00E95E07">
        <w:rPr>
          <w:color w:val="222222"/>
          <w:lang w:eastAsia="en-US"/>
        </w:rPr>
        <w:t>.</w:t>
      </w:r>
    </w:p>
    <w:p w:rsidR="00BF7012" w:rsidRPr="00457DCF" w:rsidRDefault="00283FF3" w:rsidP="00BF7012">
      <w:pPr>
        <w:pStyle w:val="ListParagraph"/>
        <w:numPr>
          <w:ilvl w:val="0"/>
          <w:numId w:val="10"/>
        </w:numPr>
        <w:shd w:val="clear" w:color="auto" w:fill="FFFFFF"/>
        <w:suppressAutoHyphens w:val="0"/>
        <w:ind w:right="360"/>
        <w:textAlignment w:val="baseline"/>
        <w:rPr>
          <w:color w:val="222222"/>
          <w:lang w:eastAsia="en-US"/>
        </w:rPr>
      </w:pPr>
      <w:r w:rsidRPr="00457DCF">
        <w:rPr>
          <w:color w:val="222222"/>
          <w:lang w:eastAsia="en-US"/>
        </w:rPr>
        <w:t xml:space="preserve">Jones, </w:t>
      </w:r>
      <w:r w:rsidR="000D7EBB" w:rsidRPr="00457DCF">
        <w:rPr>
          <w:color w:val="333333"/>
          <w:shd w:val="clear" w:color="auto" w:fill="FFFFFF"/>
        </w:rPr>
        <w:t>Taleghani-Nikazm</w:t>
      </w:r>
      <w:r w:rsidRPr="00457DCF">
        <w:rPr>
          <w:color w:val="222222"/>
          <w:lang w:eastAsia="en-US"/>
        </w:rPr>
        <w:t xml:space="preserve">, </w:t>
      </w:r>
      <w:r w:rsidR="002C39AC" w:rsidRPr="00457DCF">
        <w:rPr>
          <w:b/>
          <w:color w:val="222222"/>
          <w:lang w:eastAsia="en-US"/>
        </w:rPr>
        <w:t>unanimously approved</w:t>
      </w:r>
      <w:r w:rsidRPr="00457DCF">
        <w:rPr>
          <w:color w:val="222222"/>
          <w:lang w:eastAsia="en-US"/>
        </w:rPr>
        <w:t xml:space="preserve"> </w:t>
      </w:r>
    </w:p>
    <w:p w:rsidR="00D07E22" w:rsidRPr="00457DCF" w:rsidRDefault="00D07E22" w:rsidP="00D07E22">
      <w:pPr>
        <w:shd w:val="clear" w:color="auto" w:fill="FFFFFF"/>
        <w:suppressAutoHyphens w:val="0"/>
        <w:ind w:right="360"/>
        <w:textAlignment w:val="baseline"/>
        <w:rPr>
          <w:color w:val="222222"/>
          <w:lang w:eastAsia="en-US"/>
        </w:rPr>
      </w:pPr>
    </w:p>
    <w:p w:rsidR="00BF7012" w:rsidRPr="00457DCF" w:rsidRDefault="00BF7012" w:rsidP="00BF7012">
      <w:pPr>
        <w:numPr>
          <w:ilvl w:val="0"/>
          <w:numId w:val="4"/>
        </w:numPr>
        <w:shd w:val="clear" w:color="auto" w:fill="FFFFFF"/>
        <w:suppressAutoHyphens w:val="0"/>
        <w:ind w:right="360"/>
        <w:textAlignment w:val="baseline"/>
        <w:rPr>
          <w:color w:val="222222"/>
          <w:lang w:eastAsia="en-US"/>
        </w:rPr>
      </w:pPr>
      <w:r w:rsidRPr="00457DCF">
        <w:rPr>
          <w:color w:val="222222"/>
          <w:bdr w:val="none" w:sz="0" w:space="0" w:color="auto" w:frame="1"/>
          <w:lang w:eastAsia="en-US"/>
        </w:rPr>
        <w:t>German 2256 (new course; requesting GE Literature)</w:t>
      </w:r>
    </w:p>
    <w:p w:rsidR="00BF7012" w:rsidRPr="00457DCF" w:rsidRDefault="000D7EBB" w:rsidP="007E6BB3">
      <w:pPr>
        <w:pStyle w:val="ListParagraph"/>
        <w:numPr>
          <w:ilvl w:val="0"/>
          <w:numId w:val="10"/>
        </w:numPr>
        <w:shd w:val="clear" w:color="auto" w:fill="FFFFFF"/>
        <w:suppressAutoHyphens w:val="0"/>
        <w:ind w:right="360"/>
        <w:textAlignment w:val="baseline"/>
        <w:rPr>
          <w:color w:val="222222"/>
          <w:lang w:eastAsia="en-US"/>
        </w:rPr>
      </w:pPr>
      <w:r w:rsidRPr="00457DCF">
        <w:rPr>
          <w:color w:val="333333"/>
          <w:shd w:val="clear" w:color="auto" w:fill="FFFFFF"/>
        </w:rPr>
        <w:t>Taleghani-Nikazm</w:t>
      </w:r>
      <w:r w:rsidR="007E6BB3" w:rsidRPr="00457DCF">
        <w:rPr>
          <w:color w:val="222222"/>
          <w:lang w:eastAsia="en-US"/>
        </w:rPr>
        <w:t xml:space="preserve">, Jones, </w:t>
      </w:r>
      <w:r w:rsidR="002C39AC" w:rsidRPr="00457DCF">
        <w:rPr>
          <w:b/>
          <w:color w:val="222222"/>
          <w:lang w:eastAsia="en-US"/>
        </w:rPr>
        <w:t>unanimously approved</w:t>
      </w:r>
      <w:r w:rsidR="007E6BB3" w:rsidRPr="00457DCF">
        <w:rPr>
          <w:color w:val="222222"/>
          <w:lang w:eastAsia="en-US"/>
        </w:rPr>
        <w:t xml:space="preserve"> </w:t>
      </w:r>
    </w:p>
    <w:p w:rsidR="00BF7012" w:rsidRPr="00457DCF" w:rsidRDefault="00BF7012" w:rsidP="00BF7012">
      <w:pPr>
        <w:suppressAutoHyphens w:val="0"/>
        <w:rPr>
          <w:lang w:eastAsia="en-US"/>
        </w:rPr>
      </w:pPr>
    </w:p>
    <w:p w:rsidR="00BF7012" w:rsidRPr="00457DCF" w:rsidRDefault="00BF7012"/>
    <w:sectPr w:rsidR="00BF7012" w:rsidRPr="00457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E781BA6"/>
    <w:name w:val="WW8Num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lang w:eastAsia="en-US"/>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lang w:eastAsia="en-US"/>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707410C"/>
    <w:multiLevelType w:val="hybridMultilevel"/>
    <w:tmpl w:val="26D072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B1327B"/>
    <w:multiLevelType w:val="hybridMultilevel"/>
    <w:tmpl w:val="3C504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E4508C"/>
    <w:multiLevelType w:val="hybridMultilevel"/>
    <w:tmpl w:val="9B78E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5E65DC"/>
    <w:multiLevelType w:val="hybridMultilevel"/>
    <w:tmpl w:val="EF48285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9B962A9"/>
    <w:multiLevelType w:val="hybridMultilevel"/>
    <w:tmpl w:val="5C4EA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34D5A"/>
    <w:multiLevelType w:val="hybridMultilevel"/>
    <w:tmpl w:val="880246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BA139C"/>
    <w:multiLevelType w:val="hybridMultilevel"/>
    <w:tmpl w:val="18B2E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302A1F"/>
    <w:multiLevelType w:val="multilevel"/>
    <w:tmpl w:val="5082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D202B"/>
    <w:multiLevelType w:val="hybridMultilevel"/>
    <w:tmpl w:val="FB82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F22AF7"/>
    <w:multiLevelType w:val="hybridMultilevel"/>
    <w:tmpl w:val="096E3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FA0F3B"/>
    <w:multiLevelType w:val="hybridMultilevel"/>
    <w:tmpl w:val="077A2B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7"/>
  </w:num>
  <w:num w:numId="9">
    <w:abstractNumId w:val="13"/>
  </w:num>
  <w:num w:numId="10">
    <w:abstractNumId w:val="6"/>
  </w:num>
  <w:num w:numId="11">
    <w:abstractNumId w:val="9"/>
  </w:num>
  <w:num w:numId="12">
    <w:abstractNumId w:val="15"/>
  </w:num>
  <w:num w:numId="13">
    <w:abstractNumId w:val="12"/>
  </w:num>
  <w:num w:numId="14">
    <w:abstractNumId w:val="11"/>
  </w:num>
  <w:num w:numId="15">
    <w:abstractNumId w:val="1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12"/>
    <w:rsid w:val="00016D34"/>
    <w:rsid w:val="000D7EBB"/>
    <w:rsid w:val="001E6A40"/>
    <w:rsid w:val="00261BC2"/>
    <w:rsid w:val="00283FF3"/>
    <w:rsid w:val="002C39AC"/>
    <w:rsid w:val="003A5977"/>
    <w:rsid w:val="003D4D57"/>
    <w:rsid w:val="00457DCF"/>
    <w:rsid w:val="00495D84"/>
    <w:rsid w:val="004B0B75"/>
    <w:rsid w:val="00513075"/>
    <w:rsid w:val="00570AE3"/>
    <w:rsid w:val="0061569D"/>
    <w:rsid w:val="006650E0"/>
    <w:rsid w:val="007959FC"/>
    <w:rsid w:val="007E6BB3"/>
    <w:rsid w:val="00816747"/>
    <w:rsid w:val="008A2E25"/>
    <w:rsid w:val="008A4EC6"/>
    <w:rsid w:val="00926B3E"/>
    <w:rsid w:val="00955C41"/>
    <w:rsid w:val="00992BB3"/>
    <w:rsid w:val="009A23E2"/>
    <w:rsid w:val="009C2C61"/>
    <w:rsid w:val="00A354B1"/>
    <w:rsid w:val="00A6470D"/>
    <w:rsid w:val="00A67874"/>
    <w:rsid w:val="00A90A45"/>
    <w:rsid w:val="00B14ABB"/>
    <w:rsid w:val="00B66422"/>
    <w:rsid w:val="00B91797"/>
    <w:rsid w:val="00BF7012"/>
    <w:rsid w:val="00C04E5B"/>
    <w:rsid w:val="00D07E22"/>
    <w:rsid w:val="00D12A99"/>
    <w:rsid w:val="00DD6DB0"/>
    <w:rsid w:val="00E75CEB"/>
    <w:rsid w:val="00E82555"/>
    <w:rsid w:val="00E9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AB0F"/>
  <w15:chartTrackingRefBased/>
  <w15:docId w15:val="{FC9D80E2-F0C1-4634-90B6-E6A16698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012"/>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012"/>
    <w:rPr>
      <w:color w:val="0000FF"/>
      <w:u w:val="single"/>
    </w:rPr>
  </w:style>
  <w:style w:type="paragraph" w:styleId="NormalWeb">
    <w:name w:val="Normal (Web)"/>
    <w:basedOn w:val="Normal"/>
    <w:rsid w:val="00BF7012"/>
    <w:pPr>
      <w:spacing w:before="280" w:after="280"/>
    </w:pPr>
  </w:style>
  <w:style w:type="paragraph" w:styleId="ListParagraph">
    <w:name w:val="List Paragraph"/>
    <w:basedOn w:val="Normal"/>
    <w:uiPriority w:val="34"/>
    <w:qFormat/>
    <w:rsid w:val="00BF7012"/>
    <w:pPr>
      <w:ind w:left="720"/>
      <w:contextualSpacing/>
    </w:pPr>
  </w:style>
  <w:style w:type="character" w:customStyle="1" w:styleId="WW8Num1z2">
    <w:name w:val="WW8Num1z2"/>
    <w:rsid w:val="009A23E2"/>
  </w:style>
  <w:style w:type="character" w:styleId="FollowedHyperlink">
    <w:name w:val="FollowedHyperlink"/>
    <w:basedOn w:val="DefaultParagraphFont"/>
    <w:uiPriority w:val="99"/>
    <w:semiHidden/>
    <w:unhideWhenUsed/>
    <w:rsid w:val="009A23E2"/>
    <w:rPr>
      <w:color w:val="954F72" w:themeColor="followedHyperlink"/>
      <w:u w:val="single"/>
    </w:rPr>
  </w:style>
  <w:style w:type="paragraph" w:styleId="BalloonText">
    <w:name w:val="Balloon Text"/>
    <w:basedOn w:val="Normal"/>
    <w:link w:val="BalloonTextChar"/>
    <w:uiPriority w:val="99"/>
    <w:semiHidden/>
    <w:unhideWhenUsed/>
    <w:rsid w:val="00495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D8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73543">
      <w:bodyDiv w:val="1"/>
      <w:marLeft w:val="0"/>
      <w:marRight w:val="0"/>
      <w:marTop w:val="0"/>
      <w:marBottom w:val="0"/>
      <w:divBdr>
        <w:top w:val="none" w:sz="0" w:space="0" w:color="auto"/>
        <w:left w:val="none" w:sz="0" w:space="0" w:color="auto"/>
        <w:bottom w:val="none" w:sz="0" w:space="0" w:color="auto"/>
        <w:right w:val="none" w:sz="0" w:space="0" w:color="auto"/>
      </w:divBdr>
      <w:divsChild>
        <w:div w:id="576288434">
          <w:marLeft w:val="0"/>
          <w:marRight w:val="0"/>
          <w:marTop w:val="0"/>
          <w:marBottom w:val="0"/>
          <w:divBdr>
            <w:top w:val="none" w:sz="0" w:space="0" w:color="auto"/>
            <w:left w:val="none" w:sz="0" w:space="0" w:color="auto"/>
            <w:bottom w:val="none" w:sz="0" w:space="0" w:color="auto"/>
            <w:right w:val="none" w:sz="0" w:space="0" w:color="auto"/>
          </w:divBdr>
        </w:div>
        <w:div w:id="1006059191">
          <w:marLeft w:val="0"/>
          <w:marRight w:val="0"/>
          <w:marTop w:val="0"/>
          <w:marBottom w:val="0"/>
          <w:divBdr>
            <w:top w:val="none" w:sz="0" w:space="0" w:color="auto"/>
            <w:left w:val="none" w:sz="0" w:space="0" w:color="auto"/>
            <w:bottom w:val="none" w:sz="0" w:space="0" w:color="auto"/>
            <w:right w:val="none" w:sz="0" w:space="0" w:color="auto"/>
          </w:divBdr>
        </w:div>
        <w:div w:id="399210781">
          <w:marLeft w:val="0"/>
          <w:marRight w:val="0"/>
          <w:marTop w:val="0"/>
          <w:marBottom w:val="0"/>
          <w:divBdr>
            <w:top w:val="none" w:sz="0" w:space="0" w:color="auto"/>
            <w:left w:val="none" w:sz="0" w:space="0" w:color="auto"/>
            <w:bottom w:val="none" w:sz="0" w:space="0" w:color="auto"/>
            <w:right w:val="none" w:sz="0" w:space="0" w:color="auto"/>
          </w:divBdr>
        </w:div>
        <w:div w:id="1754080956">
          <w:marLeft w:val="0"/>
          <w:marRight w:val="0"/>
          <w:marTop w:val="0"/>
          <w:marBottom w:val="0"/>
          <w:divBdr>
            <w:top w:val="none" w:sz="0" w:space="0" w:color="auto"/>
            <w:left w:val="none" w:sz="0" w:space="0" w:color="auto"/>
            <w:bottom w:val="none" w:sz="0" w:space="0" w:color="auto"/>
            <w:right w:val="none" w:sz="0" w:space="0" w:color="auto"/>
          </w:divBdr>
        </w:div>
        <w:div w:id="339740379">
          <w:marLeft w:val="0"/>
          <w:marRight w:val="0"/>
          <w:marTop w:val="0"/>
          <w:marBottom w:val="0"/>
          <w:divBdr>
            <w:top w:val="none" w:sz="0" w:space="0" w:color="auto"/>
            <w:left w:val="none" w:sz="0" w:space="0" w:color="auto"/>
            <w:bottom w:val="none" w:sz="0" w:space="0" w:color="auto"/>
            <w:right w:val="none" w:sz="0" w:space="0" w:color="auto"/>
          </w:divBdr>
        </w:div>
        <w:div w:id="444933507">
          <w:marLeft w:val="0"/>
          <w:marRight w:val="0"/>
          <w:marTop w:val="0"/>
          <w:marBottom w:val="0"/>
          <w:divBdr>
            <w:top w:val="none" w:sz="0" w:space="0" w:color="auto"/>
            <w:left w:val="none" w:sz="0" w:space="0" w:color="auto"/>
            <w:bottom w:val="none" w:sz="0" w:space="0" w:color="auto"/>
            <w:right w:val="none" w:sz="0" w:space="0" w:color="auto"/>
          </w:divBdr>
        </w:div>
        <w:div w:id="952059446">
          <w:marLeft w:val="0"/>
          <w:marRight w:val="0"/>
          <w:marTop w:val="0"/>
          <w:marBottom w:val="0"/>
          <w:divBdr>
            <w:top w:val="none" w:sz="0" w:space="0" w:color="auto"/>
            <w:left w:val="none" w:sz="0" w:space="0" w:color="auto"/>
            <w:bottom w:val="none" w:sz="0" w:space="0" w:color="auto"/>
            <w:right w:val="none" w:sz="0" w:space="0" w:color="auto"/>
          </w:divBdr>
        </w:div>
      </w:divsChild>
    </w:div>
    <w:div w:id="8778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vising.osu.edu/welcome.shtml" TargetMode="External"/><Relationship Id="rId3" Type="http://schemas.openxmlformats.org/officeDocument/2006/relationships/styles" Target="styles.xml"/><Relationship Id="rId7" Type="http://schemas.openxmlformats.org/officeDocument/2006/relationships/hyperlink" Target="http://artsandsciences.osu.edu/academics/current-students/advi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ccas.osu.edu/sites/asccas.osu.edu/files/ASC_CurrAssess_Operations_Manual.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ccas.osu.edu/sites/asccas.osu.edu/files/ASC_CurrAssess_Operations_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DDE3-EA6A-48D3-A545-A1C8F310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Oldroyd, Shelby Q.</cp:lastModifiedBy>
  <cp:revision>2</cp:revision>
  <cp:lastPrinted>2017-01-13T21:40:00Z</cp:lastPrinted>
  <dcterms:created xsi:type="dcterms:W3CDTF">2017-01-30T14:16:00Z</dcterms:created>
  <dcterms:modified xsi:type="dcterms:W3CDTF">2017-01-30T14:16:00Z</dcterms:modified>
</cp:coreProperties>
</file>